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Layout w:type="fixed"/>
        <w:tblLook w:val="0000"/>
      </w:tblPr>
      <w:tblGrid>
        <w:gridCol w:w="3725"/>
        <w:gridCol w:w="2243"/>
        <w:gridCol w:w="3915"/>
      </w:tblGrid>
      <w:tr w:rsidR="00034C86" w:rsidRPr="002C68C0" w:rsidTr="004C3783">
        <w:trPr>
          <w:trHeight w:val="2484"/>
        </w:trPr>
        <w:tc>
          <w:tcPr>
            <w:tcW w:w="37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34C86" w:rsidRPr="002C68C0" w:rsidRDefault="00034C86" w:rsidP="004C3783">
            <w:pPr>
              <w:jc w:val="center"/>
              <w:rPr>
                <w:shadow/>
                <w:lang w:val="en-US"/>
              </w:rPr>
            </w:pPr>
            <w:r w:rsidRPr="002C68C0">
              <w:rPr>
                <w:shadow/>
                <w:lang w:val="en-US"/>
              </w:rPr>
              <w:t>REPUBLICA MOLDOVA</w:t>
            </w:r>
          </w:p>
          <w:p w:rsidR="00034C86" w:rsidRPr="002C68C0" w:rsidRDefault="00034C86" w:rsidP="004C3783">
            <w:pPr>
              <w:jc w:val="center"/>
              <w:rPr>
                <w:shadow/>
                <w:lang w:val="ro-RO"/>
              </w:rPr>
            </w:pPr>
            <w:r w:rsidRPr="002C68C0">
              <w:rPr>
                <w:shadow/>
                <w:lang w:val="ro-RO"/>
              </w:rPr>
              <w:t>RAIONUL ORHEI</w:t>
            </w:r>
          </w:p>
          <w:p w:rsidR="00034C86" w:rsidRPr="002C68C0" w:rsidRDefault="00034C86" w:rsidP="004C3783">
            <w:pPr>
              <w:tabs>
                <w:tab w:val="right" w:pos="3509"/>
              </w:tabs>
              <w:jc w:val="center"/>
              <w:rPr>
                <w:noProof/>
                <w:lang w:val="ro-RO"/>
              </w:rPr>
            </w:pPr>
            <w:r w:rsidRPr="002C68C0">
              <w:rPr>
                <w:shadow/>
                <w:lang w:val="ro-RO"/>
              </w:rPr>
              <w:t xml:space="preserve">CONSILIUL SĂTESC </w:t>
            </w:r>
            <w:r w:rsidRPr="002C68C0">
              <w:rPr>
                <w:caps/>
                <w:shadow/>
                <w:lang w:val="ro-RO"/>
              </w:rPr>
              <w:t>MITOC</w:t>
            </w:r>
          </w:p>
          <w:p w:rsidR="00034C86" w:rsidRPr="002C68C0" w:rsidRDefault="00034C86" w:rsidP="004C3783">
            <w:pPr>
              <w:jc w:val="center"/>
              <w:rPr>
                <w:noProof/>
                <w:lang w:val="ro-RO"/>
              </w:rPr>
            </w:pPr>
            <w:r w:rsidRPr="002C68C0">
              <w:rPr>
                <w:noProof/>
                <w:lang w:val="ro-RO"/>
              </w:rPr>
              <w:t>MD 35</w:t>
            </w:r>
            <w:r w:rsidRPr="002C68C0">
              <w:rPr>
                <w:noProof/>
                <w:lang w:val="en-US"/>
              </w:rPr>
              <w:t xml:space="preserve">03 </w:t>
            </w:r>
            <w:r w:rsidRPr="002C68C0">
              <w:rPr>
                <w:noProof/>
                <w:lang w:val="ro-RO"/>
              </w:rPr>
              <w:t>s. Mitoc</w:t>
            </w:r>
          </w:p>
          <w:p w:rsidR="00034C86" w:rsidRPr="002C68C0" w:rsidRDefault="00034C86" w:rsidP="004C3783">
            <w:pPr>
              <w:jc w:val="center"/>
              <w:rPr>
                <w:noProof/>
                <w:lang w:val="ro-RO"/>
              </w:rPr>
            </w:pPr>
            <w:r w:rsidRPr="002C68C0">
              <w:rPr>
                <w:noProof/>
                <w:lang w:val="ro-RO"/>
              </w:rPr>
              <w:t>Tel. (235)-</w:t>
            </w:r>
            <w:r w:rsidRPr="002C68C0">
              <w:rPr>
                <w:noProof/>
                <w:lang w:val="en-US"/>
              </w:rPr>
              <w:t>41-2-36, 41</w:t>
            </w:r>
            <w:r w:rsidRPr="002C68C0">
              <w:rPr>
                <w:noProof/>
                <w:lang w:val="ro-RO"/>
              </w:rPr>
              <w:t>-2</w:t>
            </w:r>
            <w:r w:rsidRPr="002C68C0">
              <w:rPr>
                <w:noProof/>
                <w:lang w:val="en-US"/>
              </w:rPr>
              <w:t>-38, 93-336</w:t>
            </w:r>
          </w:p>
          <w:p w:rsidR="00034C86" w:rsidRPr="002C68C0" w:rsidRDefault="00034C86" w:rsidP="004C3783">
            <w:pPr>
              <w:jc w:val="center"/>
              <w:rPr>
                <w:b/>
                <w:lang w:val="ro-RO"/>
              </w:rPr>
            </w:pPr>
            <w:r w:rsidRPr="002C68C0">
              <w:rPr>
                <w:noProof/>
                <w:lang w:val="ro-RO"/>
              </w:rPr>
              <w:t>C/f 1007601003334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34C86" w:rsidRPr="002C68C0" w:rsidRDefault="00034C86" w:rsidP="004C3783">
            <w:pPr>
              <w:jc w:val="center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>
                  <wp:extent cx="895350" cy="1047750"/>
                  <wp:effectExtent l="19050" t="0" r="0" b="0"/>
                  <wp:docPr id="7" name="Рисунок 1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34C86" w:rsidRPr="002C68C0" w:rsidRDefault="00034C86" w:rsidP="004C3783">
            <w:pPr>
              <w:jc w:val="center"/>
              <w:rPr>
                <w:b/>
                <w:shadow/>
                <w:lang w:val="ro-RO"/>
              </w:rPr>
            </w:pPr>
            <w:r w:rsidRPr="002C68C0">
              <w:rPr>
                <w:shadow/>
                <w:noProof/>
                <w:lang w:val="ro-RO"/>
              </w:rPr>
              <w:t>РЕСПУБЛИКА МОЛДОВА</w:t>
            </w:r>
          </w:p>
          <w:p w:rsidR="00034C86" w:rsidRPr="002C68C0" w:rsidRDefault="00034C86" w:rsidP="004C3783">
            <w:pPr>
              <w:jc w:val="center"/>
              <w:rPr>
                <w:shadow/>
              </w:rPr>
            </w:pPr>
            <w:r w:rsidRPr="002C68C0">
              <w:rPr>
                <w:shadow/>
              </w:rPr>
              <w:t>ОРХЕЙСКИЙ РАЙОН</w:t>
            </w:r>
          </w:p>
          <w:p w:rsidR="00034C86" w:rsidRPr="002C68C0" w:rsidRDefault="00034C86" w:rsidP="004C3783">
            <w:pPr>
              <w:jc w:val="center"/>
              <w:rPr>
                <w:shadow/>
              </w:rPr>
            </w:pPr>
            <w:r w:rsidRPr="002C68C0">
              <w:rPr>
                <w:shadow/>
              </w:rPr>
              <w:t>СЕЛЬСКИЙ СОВЕТ МИТОК</w:t>
            </w:r>
          </w:p>
          <w:p w:rsidR="00034C86" w:rsidRPr="002C68C0" w:rsidRDefault="00034C86" w:rsidP="004C3783">
            <w:pPr>
              <w:jc w:val="center"/>
              <w:rPr>
                <w:lang w:val="ro-RO"/>
              </w:rPr>
            </w:pPr>
            <w:r w:rsidRPr="002C68C0">
              <w:rPr>
                <w:lang w:val="ro-RO"/>
              </w:rPr>
              <w:t>МД 35</w:t>
            </w:r>
            <w:r w:rsidRPr="002C68C0">
              <w:t xml:space="preserve">03 с. </w:t>
            </w:r>
            <w:proofErr w:type="spellStart"/>
            <w:r w:rsidRPr="002C68C0">
              <w:t>Миток</w:t>
            </w:r>
            <w:proofErr w:type="spellEnd"/>
          </w:p>
          <w:p w:rsidR="00034C86" w:rsidRPr="002C68C0" w:rsidRDefault="00034C86" w:rsidP="004C3783">
            <w:pPr>
              <w:jc w:val="center"/>
              <w:rPr>
                <w:lang w:val="ro-RO"/>
              </w:rPr>
            </w:pPr>
            <w:r w:rsidRPr="002C68C0">
              <w:rPr>
                <w:lang w:val="ro-RO"/>
              </w:rPr>
              <w:t>Тел. (235)-</w:t>
            </w:r>
            <w:r w:rsidRPr="002C68C0">
              <w:t>41</w:t>
            </w:r>
            <w:r w:rsidRPr="002C68C0">
              <w:rPr>
                <w:lang w:val="ro-RO"/>
              </w:rPr>
              <w:t xml:space="preserve">-2-36, </w:t>
            </w:r>
            <w:r w:rsidRPr="002C68C0">
              <w:t>41</w:t>
            </w:r>
            <w:r w:rsidRPr="002C68C0">
              <w:rPr>
                <w:lang w:val="ro-RO"/>
              </w:rPr>
              <w:t>-2-38, 93-336</w:t>
            </w:r>
          </w:p>
          <w:p w:rsidR="00034C86" w:rsidRPr="002C68C0" w:rsidRDefault="00034C86" w:rsidP="004C3783">
            <w:pPr>
              <w:jc w:val="center"/>
              <w:rPr>
                <w:noProof/>
                <w:lang w:val="ro-RO"/>
              </w:rPr>
            </w:pPr>
            <w:r w:rsidRPr="002C68C0">
              <w:t>К/</w:t>
            </w:r>
            <w:proofErr w:type="spellStart"/>
            <w:r w:rsidRPr="002C68C0">
              <w:t>ф</w:t>
            </w:r>
            <w:proofErr w:type="spellEnd"/>
            <w:r w:rsidRPr="002C68C0">
              <w:rPr>
                <w:noProof/>
                <w:lang w:val="ro-RO"/>
              </w:rPr>
              <w:t xml:space="preserve">  1007601003334</w:t>
            </w:r>
          </w:p>
          <w:p w:rsidR="00034C86" w:rsidRPr="002C68C0" w:rsidRDefault="00034C86" w:rsidP="004C3783">
            <w:pPr>
              <w:jc w:val="center"/>
            </w:pPr>
          </w:p>
        </w:tc>
      </w:tr>
    </w:tbl>
    <w:p w:rsidR="00034C86" w:rsidRPr="00AB3942" w:rsidRDefault="00034C86" w:rsidP="00034C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proiect</w:t>
      </w:r>
    </w:p>
    <w:p w:rsidR="00034C86" w:rsidRPr="00AB3942" w:rsidRDefault="00034C86" w:rsidP="00034C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34C86" w:rsidRPr="00AB3942" w:rsidRDefault="00034C86" w:rsidP="00034C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b/>
          <w:sz w:val="24"/>
          <w:szCs w:val="24"/>
          <w:lang w:val="ro-RO"/>
        </w:rPr>
        <w:t>Decizie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7/1</w:t>
      </w:r>
      <w:r w:rsidRPr="00AB39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</w:p>
    <w:p w:rsidR="00034C86" w:rsidRPr="00AB3942" w:rsidRDefault="00034C86" w:rsidP="00034C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Din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07 decembrie 2018</w:t>
      </w:r>
    </w:p>
    <w:p w:rsidR="00034C86" w:rsidRPr="00AB3942" w:rsidRDefault="00034C86" w:rsidP="00034C86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034C86" w:rsidRPr="00AB3942" w:rsidRDefault="00034C86" w:rsidP="00034C86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AB3942">
        <w:rPr>
          <w:rFonts w:ascii="Times New Roman" w:hAnsi="Times New Roman" w:cs="Times New Roman"/>
          <w:b/>
          <w:sz w:val="24"/>
          <w:lang w:val="en-US"/>
        </w:rPr>
        <w:t xml:space="preserve">„Cu </w:t>
      </w:r>
      <w:proofErr w:type="spellStart"/>
      <w:r w:rsidRPr="00AB3942">
        <w:rPr>
          <w:rFonts w:ascii="Times New Roman" w:hAnsi="Times New Roman" w:cs="Times New Roman"/>
          <w:b/>
          <w:sz w:val="24"/>
          <w:lang w:val="en-US"/>
        </w:rPr>
        <w:t>privire</w:t>
      </w:r>
      <w:proofErr w:type="spellEnd"/>
      <w:r w:rsidRPr="00AB3942">
        <w:rPr>
          <w:rFonts w:ascii="Times New Roman" w:hAnsi="Times New Roman" w:cs="Times New Roman"/>
          <w:b/>
          <w:sz w:val="24"/>
          <w:lang w:val="en-US"/>
        </w:rPr>
        <w:t xml:space="preserve"> la </w:t>
      </w:r>
      <w:proofErr w:type="spellStart"/>
      <w:r w:rsidRPr="00AB3942">
        <w:rPr>
          <w:rFonts w:ascii="Times New Roman" w:hAnsi="Times New Roman" w:cs="Times New Roman"/>
          <w:b/>
          <w:sz w:val="24"/>
          <w:lang w:val="en-US"/>
        </w:rPr>
        <w:t>aprobarea</w:t>
      </w:r>
      <w:proofErr w:type="spellEnd"/>
      <w:r w:rsidRPr="00AB394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b/>
          <w:sz w:val="24"/>
          <w:lang w:val="en-US"/>
        </w:rPr>
        <w:t>bugetului</w:t>
      </w:r>
      <w:proofErr w:type="spellEnd"/>
    </w:p>
    <w:p w:rsidR="00034C86" w:rsidRPr="00AB3942" w:rsidRDefault="00034C86" w:rsidP="00034C86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AB3942">
        <w:rPr>
          <w:rFonts w:ascii="Times New Roman" w:hAnsi="Times New Roman" w:cs="Times New Roman"/>
          <w:b/>
          <w:sz w:val="24"/>
          <w:lang w:val="en-US"/>
        </w:rPr>
        <w:t>Unității</w:t>
      </w:r>
      <w:proofErr w:type="spellEnd"/>
      <w:r w:rsidRPr="00AB394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b/>
          <w:sz w:val="24"/>
          <w:lang w:val="en-US"/>
        </w:rPr>
        <w:t>Administrativ</w:t>
      </w:r>
      <w:proofErr w:type="spellEnd"/>
      <w:r w:rsidRPr="00AB394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b/>
          <w:sz w:val="24"/>
          <w:lang w:val="en-US"/>
        </w:rPr>
        <w:t>Teritoriale</w:t>
      </w:r>
      <w:proofErr w:type="spellEnd"/>
      <w:r w:rsidRPr="00AB394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b/>
          <w:sz w:val="24"/>
          <w:lang w:val="en-US"/>
        </w:rPr>
        <w:t>Mitoc</w:t>
      </w:r>
      <w:proofErr w:type="spellEnd"/>
      <w:r w:rsidRPr="00AB3942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034C86" w:rsidRPr="00AB3942" w:rsidRDefault="00034C86" w:rsidP="00034C86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AB3942">
        <w:rPr>
          <w:rFonts w:ascii="Times New Roman" w:hAnsi="Times New Roman" w:cs="Times New Roman"/>
          <w:b/>
          <w:sz w:val="24"/>
          <w:lang w:val="en-US"/>
        </w:rPr>
        <w:t>pentru</w:t>
      </w:r>
      <w:proofErr w:type="spellEnd"/>
      <w:proofErr w:type="gramEnd"/>
      <w:r w:rsidRPr="00AB394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b/>
          <w:sz w:val="24"/>
          <w:lang w:val="en-US"/>
        </w:rPr>
        <w:t>anul</w:t>
      </w:r>
      <w:proofErr w:type="spellEnd"/>
      <w:r w:rsidRPr="00AB3942">
        <w:rPr>
          <w:rFonts w:ascii="Times New Roman" w:hAnsi="Times New Roman" w:cs="Times New Roman"/>
          <w:b/>
          <w:sz w:val="24"/>
          <w:lang w:val="en-US"/>
        </w:rPr>
        <w:t xml:space="preserve"> 2019 </w:t>
      </w:r>
      <w:proofErr w:type="spellStart"/>
      <w:r w:rsidRPr="00AB3942">
        <w:rPr>
          <w:rFonts w:ascii="Times New Roman" w:hAnsi="Times New Roman" w:cs="Times New Roman"/>
          <w:b/>
          <w:sz w:val="24"/>
          <w:lang w:val="en-US"/>
        </w:rPr>
        <w:t>în</w:t>
      </w:r>
      <w:proofErr w:type="spellEnd"/>
      <w:r w:rsidRPr="00AB3942">
        <w:rPr>
          <w:rFonts w:ascii="Times New Roman" w:hAnsi="Times New Roman" w:cs="Times New Roman"/>
          <w:b/>
          <w:sz w:val="24"/>
          <w:lang w:val="en-US"/>
        </w:rPr>
        <w:t xml:space="preserve"> a II-a </w:t>
      </w:r>
      <w:proofErr w:type="spellStart"/>
      <w:r w:rsidRPr="00AB3942">
        <w:rPr>
          <w:rFonts w:ascii="Times New Roman" w:hAnsi="Times New Roman" w:cs="Times New Roman"/>
          <w:b/>
          <w:sz w:val="24"/>
          <w:lang w:val="en-US"/>
        </w:rPr>
        <w:t>lectură</w:t>
      </w:r>
      <w:proofErr w:type="spellEnd"/>
      <w:r w:rsidRPr="00AB3942">
        <w:rPr>
          <w:rFonts w:ascii="Times New Roman" w:hAnsi="Times New Roman" w:cs="Times New Roman"/>
          <w:b/>
          <w:sz w:val="24"/>
          <w:lang w:val="en-US"/>
        </w:rPr>
        <w:t>”</w:t>
      </w:r>
    </w:p>
    <w:p w:rsidR="00034C86" w:rsidRPr="00AB3942" w:rsidRDefault="00034C86" w:rsidP="00034C86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034C86" w:rsidRPr="00AB3942" w:rsidRDefault="00034C86" w:rsidP="00034C86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AB3942">
        <w:rPr>
          <w:rFonts w:ascii="Times New Roman" w:hAnsi="Times New Roman" w:cs="Times New Roman"/>
          <w:sz w:val="24"/>
          <w:lang w:val="en-US"/>
        </w:rPr>
        <w:t xml:space="preserve">  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Examinînd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bugetul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Unității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Administrativ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Teritoriale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AB3942">
        <w:rPr>
          <w:rFonts w:ascii="Times New Roman" w:hAnsi="Times New Roman" w:cs="Times New Roman"/>
          <w:sz w:val="24"/>
          <w:lang w:val="en-US"/>
        </w:rPr>
        <w:t>Mitoc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pentru</w:t>
      </w:r>
      <w:proofErr w:type="spellEnd"/>
      <w:proofErr w:type="gram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anul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2019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în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lectură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art.14</w:t>
      </w:r>
      <w:r w:rsidRPr="00AB3942"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2</w:t>
      </w:r>
      <w:r w:rsidRPr="00AB3942">
        <w:rPr>
          <w:rFonts w:ascii="Times New Roman" w:hAnsi="Times New Roman" w:cs="Times New Roman"/>
          <w:sz w:val="24"/>
          <w:lang w:val="en-US"/>
        </w:rPr>
        <w:t xml:space="preserve">) lit. </w:t>
      </w:r>
      <w:proofErr w:type="gramStart"/>
      <w:r>
        <w:rPr>
          <w:rFonts w:ascii="Times New Roman" w:hAnsi="Times New Roman" w:cs="Times New Roman"/>
          <w:sz w:val="24"/>
          <w:lang w:val="en-US"/>
        </w:rPr>
        <w:t>n</w:t>
      </w:r>
      <w:r w:rsidRPr="00AB3942">
        <w:rPr>
          <w:rFonts w:ascii="Times New Roman" w:hAnsi="Times New Roman" w:cs="Times New Roman"/>
          <w:sz w:val="24"/>
          <w:lang w:val="en-US"/>
        </w:rPr>
        <w:t xml:space="preserve">)  al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Legii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nr.436-XVI din 28.12.2006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privind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administraţia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publică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locală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şi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ţinînd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cont de art.</w:t>
      </w:r>
      <w:proofErr w:type="gramEnd"/>
      <w:r w:rsidRPr="00AB3942">
        <w:rPr>
          <w:rFonts w:ascii="Times New Roman" w:hAnsi="Times New Roman" w:cs="Times New Roman"/>
          <w:sz w:val="24"/>
          <w:lang w:val="en-US"/>
        </w:rPr>
        <w:t xml:space="preserve"> 21 (4) lit. b)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Legea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nr.612 -XXV din 18.10.20018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privind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finanţele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publice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locale, conform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Setului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metodologic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privind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elaborarea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aprobarea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şi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modificarea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bugetului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aprobat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prin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Ordinul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ministrului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finanţelor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nr. 209 din 24.12.2015,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avînd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avizul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pozitiv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al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Comisiei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Specialitate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în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probleme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economice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sociale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buget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şi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B3942">
        <w:rPr>
          <w:rFonts w:ascii="Times New Roman" w:hAnsi="Times New Roman" w:cs="Times New Roman"/>
          <w:sz w:val="24"/>
          <w:lang w:val="en-US"/>
        </w:rPr>
        <w:t>finanţe</w:t>
      </w:r>
      <w:proofErr w:type="spellEnd"/>
      <w:r w:rsidRPr="00AB3942">
        <w:rPr>
          <w:rFonts w:ascii="Times New Roman" w:hAnsi="Times New Roman" w:cs="Times New Roman"/>
          <w:sz w:val="24"/>
          <w:lang w:val="en-US"/>
        </w:rPr>
        <w:t xml:space="preserve">, </w:t>
      </w:r>
    </w:p>
    <w:p w:rsidR="00034C86" w:rsidRPr="00AB3942" w:rsidRDefault="00034C86" w:rsidP="00034C86">
      <w:pPr>
        <w:ind w:firstLine="708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AB3942">
        <w:rPr>
          <w:rFonts w:ascii="Times New Roman" w:hAnsi="Times New Roman" w:cs="Times New Roman"/>
          <w:b/>
          <w:sz w:val="24"/>
          <w:lang w:val="en-US"/>
        </w:rPr>
        <w:t xml:space="preserve">CONSILIUL LOCAL </w:t>
      </w:r>
      <w:proofErr w:type="gramStart"/>
      <w:r w:rsidRPr="00AB3942">
        <w:rPr>
          <w:rFonts w:ascii="Times New Roman" w:hAnsi="Times New Roman" w:cs="Times New Roman"/>
          <w:b/>
          <w:sz w:val="24"/>
          <w:lang w:val="en-US"/>
        </w:rPr>
        <w:t>MITOC  DECIDE</w:t>
      </w:r>
      <w:proofErr w:type="gramEnd"/>
      <w:r w:rsidRPr="00AB3942">
        <w:rPr>
          <w:rFonts w:ascii="Times New Roman" w:hAnsi="Times New Roman" w:cs="Times New Roman"/>
          <w:b/>
          <w:sz w:val="24"/>
          <w:lang w:val="en-US"/>
        </w:rPr>
        <w:t>:</w:t>
      </w:r>
    </w:p>
    <w:p w:rsidR="00034C86" w:rsidRPr="00AB3942" w:rsidRDefault="00034C86" w:rsidP="00034C86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B3942">
        <w:rPr>
          <w:rFonts w:ascii="Times New Roman" w:hAnsi="Times New Roman" w:cs="Times New Roman"/>
          <w:sz w:val="24"/>
          <w:szCs w:val="24"/>
          <w:lang w:val="ro-MO"/>
        </w:rPr>
        <w:t>Se aprobă:</w:t>
      </w:r>
    </w:p>
    <w:p w:rsidR="00034C86" w:rsidRPr="00AB3942" w:rsidRDefault="00034C86" w:rsidP="00034C86">
      <w:pPr>
        <w:numPr>
          <w:ilvl w:val="1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sz w:val="24"/>
          <w:szCs w:val="24"/>
          <w:lang w:val="ro-RO"/>
        </w:rPr>
        <w:t xml:space="preserve">sinteza indicatorilor principali ai bugetului local: venituri, cheltuieli, inclusiv cheltuielile </w:t>
      </w:r>
    </w:p>
    <w:p w:rsidR="00034C86" w:rsidRPr="00AB3942" w:rsidRDefault="00034C86" w:rsidP="00034C86">
      <w:pPr>
        <w:spacing w:after="0" w:line="0" w:lineRule="atLeast"/>
        <w:ind w:left="9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sz w:val="24"/>
          <w:szCs w:val="24"/>
          <w:lang w:val="ro-RO"/>
        </w:rPr>
        <w:t>de personal, soldul bugetului şi sursele de finanţare, conform anexei nr. 1;</w:t>
      </w:r>
    </w:p>
    <w:p w:rsidR="00034C86" w:rsidRPr="00AB3942" w:rsidRDefault="00034C86" w:rsidP="00034C86">
      <w:pPr>
        <w:numPr>
          <w:ilvl w:val="1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sz w:val="24"/>
          <w:szCs w:val="24"/>
          <w:lang w:val="ro-RO"/>
        </w:rPr>
        <w:t>sinteza veniturilor bugetului local, conform anexei nr. 2;</w:t>
      </w:r>
    </w:p>
    <w:p w:rsidR="00034C86" w:rsidRPr="00AB3942" w:rsidRDefault="00034C86" w:rsidP="00034C86">
      <w:pPr>
        <w:numPr>
          <w:ilvl w:val="1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sz w:val="24"/>
          <w:szCs w:val="24"/>
          <w:lang w:val="ro-RO"/>
        </w:rPr>
        <w:t xml:space="preserve">resursele şi cheltuielile bugetului local conform clasificaţiei funcţionale şi pe programe, </w:t>
      </w:r>
    </w:p>
    <w:p w:rsidR="00034C86" w:rsidRPr="00AB3942" w:rsidRDefault="00034C86" w:rsidP="00034C86">
      <w:pPr>
        <w:spacing w:after="0" w:line="0" w:lineRule="atLeast"/>
        <w:ind w:left="9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sz w:val="24"/>
          <w:szCs w:val="24"/>
          <w:lang w:val="ro-RO"/>
        </w:rPr>
        <w:t>anexa nr. 3;</w:t>
      </w:r>
    </w:p>
    <w:p w:rsidR="00034C86" w:rsidRPr="00AB3942" w:rsidRDefault="00034C86" w:rsidP="00034C86">
      <w:pPr>
        <w:numPr>
          <w:ilvl w:val="1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sz w:val="24"/>
          <w:szCs w:val="24"/>
          <w:lang w:val="ro-RO"/>
        </w:rPr>
        <w:t>nomenclatorul tarifelor pentru prestarea serviciilor contra plată de către instituţiile</w:t>
      </w:r>
    </w:p>
    <w:p w:rsidR="00034C86" w:rsidRPr="00AB3942" w:rsidRDefault="00034C86" w:rsidP="00034C86">
      <w:pPr>
        <w:spacing w:after="0" w:line="0" w:lineRule="atLeast"/>
        <w:ind w:left="9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sz w:val="24"/>
          <w:szCs w:val="24"/>
          <w:lang w:val="ro-RO"/>
        </w:rPr>
        <w:t>publice finanţate de la bugetul local, conform anexei nr. 4 și 4a;</w:t>
      </w:r>
    </w:p>
    <w:p w:rsidR="00034C86" w:rsidRPr="00AB3942" w:rsidRDefault="00034C86" w:rsidP="00034C86">
      <w:pPr>
        <w:numPr>
          <w:ilvl w:val="1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sz w:val="24"/>
          <w:szCs w:val="24"/>
          <w:lang w:val="ro-RO"/>
        </w:rPr>
        <w:t xml:space="preserve">sinteza veniturilor colectate de către instituţiile bugetare finanţate din bugetul local, </w:t>
      </w:r>
    </w:p>
    <w:p w:rsidR="00034C86" w:rsidRPr="00AB3942" w:rsidRDefault="00034C86" w:rsidP="00034C86">
      <w:pPr>
        <w:spacing w:after="0" w:line="0" w:lineRule="atLeast"/>
        <w:ind w:left="9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sz w:val="24"/>
          <w:szCs w:val="24"/>
          <w:lang w:val="ro-RO"/>
        </w:rPr>
        <w:t>conform anexei nr. 5;</w:t>
      </w:r>
    </w:p>
    <w:p w:rsidR="00034C86" w:rsidRPr="00AB3942" w:rsidRDefault="00034C86" w:rsidP="00034C86">
      <w:pPr>
        <w:numPr>
          <w:ilvl w:val="1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sz w:val="24"/>
          <w:szCs w:val="24"/>
          <w:lang w:val="ro-RO"/>
        </w:rPr>
        <w:t xml:space="preserve">efectivul-limită de personal pentru instituţiile finanţate de la bugetul local, conform </w:t>
      </w:r>
    </w:p>
    <w:p w:rsidR="00034C86" w:rsidRPr="00AB3942" w:rsidRDefault="00034C86" w:rsidP="00034C86">
      <w:pPr>
        <w:spacing w:after="0" w:line="0" w:lineRule="atLeast"/>
        <w:ind w:left="9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3942">
        <w:rPr>
          <w:rFonts w:ascii="Times New Roman" w:hAnsi="Times New Roman" w:cs="Times New Roman"/>
          <w:sz w:val="24"/>
          <w:szCs w:val="24"/>
          <w:lang w:val="ro-RO"/>
        </w:rPr>
        <w:t>anexei nr. 6;</w:t>
      </w:r>
    </w:p>
    <w:p w:rsidR="00034C86" w:rsidRPr="00AB3942" w:rsidRDefault="00034C86" w:rsidP="00034C86">
      <w:pPr>
        <w:tabs>
          <w:tab w:val="left" w:pos="993"/>
        </w:tabs>
        <w:spacing w:after="0" w:line="0" w:lineRule="atLeast"/>
        <w:ind w:left="9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4C86" w:rsidRPr="00AB3942" w:rsidRDefault="00034C86" w:rsidP="00034C86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B3942">
        <w:rPr>
          <w:rFonts w:ascii="Times New Roman" w:hAnsi="Times New Roman" w:cs="Times New Roman"/>
          <w:sz w:val="24"/>
          <w:szCs w:val="24"/>
          <w:lang w:val="ro-MO"/>
        </w:rPr>
        <w:t>Prezenta decizie intră în vigoare la 1 ianuarie 2019.</w:t>
      </w:r>
    </w:p>
    <w:p w:rsidR="00034C86" w:rsidRPr="00AB3942" w:rsidRDefault="00034C86" w:rsidP="00034C86">
      <w:pPr>
        <w:pStyle w:val="a3"/>
        <w:spacing w:line="0" w:lineRule="atLeast"/>
        <w:rPr>
          <w:rFonts w:ascii="Times New Roman" w:eastAsiaTheme="minorEastAsia" w:hAnsi="Times New Roman"/>
          <w:b/>
          <w:sz w:val="24"/>
          <w:szCs w:val="24"/>
          <w:lang w:val="ro-RO"/>
        </w:rPr>
      </w:pPr>
    </w:p>
    <w:p w:rsidR="00034C86" w:rsidRPr="004E4CC5" w:rsidRDefault="00034C86" w:rsidP="00034C86">
      <w:pPr>
        <w:pStyle w:val="a3"/>
        <w:spacing w:line="0" w:lineRule="atLeast"/>
        <w:rPr>
          <w:rFonts w:ascii="Times New Roman" w:eastAsiaTheme="minorEastAsia" w:hAnsi="Times New Roman"/>
          <w:sz w:val="24"/>
          <w:szCs w:val="24"/>
          <w:lang w:val="ro-RO"/>
        </w:rPr>
      </w:pPr>
      <w:r w:rsidRPr="004E4CC5">
        <w:rPr>
          <w:rFonts w:ascii="Times New Roman" w:eastAsiaTheme="minorEastAsia" w:hAnsi="Times New Roman"/>
          <w:sz w:val="24"/>
          <w:szCs w:val="24"/>
          <w:lang w:val="ro-RO"/>
        </w:rPr>
        <w:t xml:space="preserve">Preşedintele şedinţei                                                        </w:t>
      </w:r>
    </w:p>
    <w:p w:rsidR="00034C86" w:rsidRPr="004E4CC5" w:rsidRDefault="00034C86" w:rsidP="00034C86">
      <w:pPr>
        <w:pStyle w:val="a3"/>
        <w:spacing w:line="0" w:lineRule="atLeast"/>
        <w:rPr>
          <w:rFonts w:ascii="Times New Roman" w:eastAsiaTheme="minorEastAsia" w:hAnsi="Times New Roman"/>
          <w:sz w:val="24"/>
          <w:szCs w:val="24"/>
          <w:lang w:val="ro-RO"/>
        </w:rPr>
      </w:pPr>
      <w:r w:rsidRPr="004E4CC5">
        <w:rPr>
          <w:rFonts w:ascii="Times New Roman" w:eastAsiaTheme="minorEastAsia" w:hAnsi="Times New Roman"/>
          <w:sz w:val="24"/>
          <w:szCs w:val="24"/>
          <w:lang w:val="ro-RO"/>
        </w:rPr>
        <w:t xml:space="preserve">Secretar al consiliului                                                       Scaletchi Galina  </w:t>
      </w:r>
    </w:p>
    <w:p w:rsidR="00034C86" w:rsidRPr="004E4CC5" w:rsidRDefault="00034C86" w:rsidP="00034C86">
      <w:pPr>
        <w:pStyle w:val="a3"/>
        <w:spacing w:line="0" w:lineRule="atLeast"/>
        <w:rPr>
          <w:rFonts w:ascii="Times New Roman" w:eastAsiaTheme="minorEastAsia" w:hAnsi="Times New Roman"/>
          <w:sz w:val="24"/>
          <w:szCs w:val="24"/>
          <w:lang w:val="ro-RO"/>
        </w:rPr>
      </w:pPr>
      <w:r w:rsidRPr="004E4CC5">
        <w:rPr>
          <w:rFonts w:ascii="Times New Roman" w:eastAsiaTheme="minorEastAsia" w:hAnsi="Times New Roman"/>
          <w:sz w:val="24"/>
          <w:szCs w:val="24"/>
          <w:lang w:val="ro-RO"/>
        </w:rPr>
        <w:t>Contabil șef                                                                       Gherciu Svetlana</w:t>
      </w:r>
    </w:p>
    <w:p w:rsidR="00034C86" w:rsidRPr="004E4CC5" w:rsidRDefault="00034C86" w:rsidP="00034C86">
      <w:pPr>
        <w:jc w:val="center"/>
        <w:rPr>
          <w:i/>
          <w:sz w:val="28"/>
          <w:szCs w:val="28"/>
          <w:lang w:val="ro-MO"/>
        </w:rPr>
      </w:pPr>
      <w:r w:rsidRPr="004E4CC5">
        <w:rPr>
          <w:i/>
          <w:sz w:val="28"/>
          <w:szCs w:val="28"/>
          <w:lang w:val="ro-MO"/>
        </w:rPr>
        <w:tab/>
      </w:r>
    </w:p>
    <w:p w:rsidR="00825870" w:rsidRDefault="00825870"/>
    <w:sectPr w:rsidR="0082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6D42"/>
    <w:multiLevelType w:val="multilevel"/>
    <w:tmpl w:val="6DA6F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908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76805BFE"/>
    <w:multiLevelType w:val="multilevel"/>
    <w:tmpl w:val="0F523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C86"/>
    <w:rsid w:val="00034C86"/>
    <w:rsid w:val="0082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4C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34C8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2018-11-20T14:03:00Z</dcterms:created>
  <dcterms:modified xsi:type="dcterms:W3CDTF">2018-11-20T14:04:00Z</dcterms:modified>
</cp:coreProperties>
</file>